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EA8" w:rsidRDefault="00A46EA8" w:rsidP="00A46EA8">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TRIGÉSIMA PRIMERA</w:t>
      </w:r>
      <w:r w:rsidRPr="0073286C">
        <w:rPr>
          <w:rFonts w:ascii="Palatino Linotype" w:hAnsi="Palatino Linotype" w:cs="Arial"/>
          <w:b/>
        </w:rPr>
        <w:t xml:space="preserve"> SESIÓN ORDINARIA DE </w:t>
      </w:r>
      <w:r>
        <w:rPr>
          <w:rFonts w:ascii="Palatino Linotype" w:hAnsi="Palatino Linotype" w:cs="Arial"/>
          <w:b/>
        </w:rPr>
        <w:t xml:space="preserve">VEINTINUEVE DE AGOSTO </w:t>
      </w:r>
      <w:r w:rsidRPr="0073286C">
        <w:rPr>
          <w:rFonts w:ascii="Palatino Linotype" w:hAnsi="Palatino Linotype" w:cs="Arial"/>
          <w:b/>
        </w:rPr>
        <w:t>DE DOS MIL 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02608/</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p>
    <w:p w:rsidR="00A46EA8" w:rsidRDefault="00A46EA8" w:rsidP="00A46EA8">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5F466F">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 xml:space="preserve">VOTO PARTICULAR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02608</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el Comisionado </w:t>
      </w:r>
      <w:r w:rsidRPr="0073286C">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A46EA8" w:rsidRDefault="00A46EA8" w:rsidP="00A46EA8">
      <w:pPr>
        <w:spacing w:before="100" w:beforeAutospacing="1" w:after="100" w:afterAutospacing="1" w:line="360" w:lineRule="auto"/>
        <w:jc w:val="both"/>
        <w:rPr>
          <w:rFonts w:ascii="Palatino Linotype" w:hAnsi="Palatino Linotype"/>
        </w:rPr>
      </w:pPr>
      <w:r w:rsidRPr="0073286C">
        <w:rPr>
          <w:rFonts w:ascii="Palatino Linotype" w:hAnsi="Palatino Linotype"/>
        </w:rPr>
        <w:t xml:space="preserve">Es de destacar, que la suscrita </w:t>
      </w:r>
      <w:r>
        <w:rPr>
          <w:rFonts w:ascii="Palatino Linotype" w:hAnsi="Palatino Linotype"/>
        </w:rPr>
        <w:t xml:space="preserve">comparte esencialmente el sentido de la </w:t>
      </w:r>
      <w:r w:rsidRPr="0073286C">
        <w:rPr>
          <w:rFonts w:ascii="Palatino Linotype" w:hAnsi="Palatino Linotype"/>
        </w:rPr>
        <w:t xml:space="preserve">resolución </w:t>
      </w:r>
      <w:r>
        <w:rPr>
          <w:rFonts w:ascii="Palatino Linotype" w:hAnsi="Palatino Linotype"/>
        </w:rPr>
        <w:t xml:space="preserve">del </w:t>
      </w:r>
      <w:proofErr w:type="gramStart"/>
      <w:r w:rsidRPr="0073286C">
        <w:rPr>
          <w:rFonts w:ascii="Palatino Linotype" w:hAnsi="Palatino Linotype"/>
        </w:rPr>
        <w:t>recurs</w:t>
      </w:r>
      <w:r>
        <w:rPr>
          <w:rFonts w:ascii="Palatino Linotype" w:hAnsi="Palatino Linotype"/>
        </w:rPr>
        <w:t>o</w:t>
      </w:r>
      <w:proofErr w:type="gramEnd"/>
      <w:r>
        <w:rPr>
          <w:rFonts w:ascii="Palatino Linotype" w:hAnsi="Palatino Linotype"/>
        </w:rPr>
        <w:t xml:space="preserve">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 en la misma.</w:t>
      </w:r>
    </w:p>
    <w:p w:rsidR="00A46EA8" w:rsidRDefault="00A46EA8" w:rsidP="00A46EA8">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Pr>
          <w:rFonts w:ascii="Palatino Linotype" w:hAnsi="Palatino Linotype"/>
        </w:rPr>
        <w:t>ón materia del presente voto, el</w:t>
      </w:r>
      <w:r w:rsidRPr="0073286C">
        <w:rPr>
          <w:rFonts w:ascii="Palatino Linotype" w:hAnsi="Palatino Linotype"/>
        </w:rPr>
        <w:t xml:space="preserve"> particular re</w:t>
      </w:r>
      <w:r w:rsidR="005F466F">
        <w:rPr>
          <w:rFonts w:ascii="Palatino Linotype" w:hAnsi="Palatino Linotype"/>
        </w:rPr>
        <w:t>alizó al</w:t>
      </w:r>
      <w:r>
        <w:rPr>
          <w:rFonts w:ascii="Palatino Linotype" w:hAnsi="Palatino Linotype"/>
        </w:rPr>
        <w:t xml:space="preserve"> </w:t>
      </w:r>
      <w:r>
        <w:rPr>
          <w:rFonts w:ascii="Palatino Linotype" w:hAnsi="Palatino Linotype" w:cs="Arial"/>
          <w:b/>
        </w:rPr>
        <w:t>Ayuntamiento de Ixtapaluca</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Pr>
          <w:rFonts w:ascii="Palatino Linotype" w:hAnsi="Palatino Linotype"/>
        </w:rPr>
        <w:t xml:space="preserve">diversos cuestionamientos en relación con el área de Contraloría </w:t>
      </w:r>
      <w:r w:rsidR="000D5385">
        <w:rPr>
          <w:rFonts w:ascii="Palatino Linotype" w:hAnsi="Palatino Linotype"/>
        </w:rPr>
        <w:t xml:space="preserve">correspondientes al </w:t>
      </w:r>
      <w:r>
        <w:rPr>
          <w:rFonts w:ascii="Palatino Linotype" w:hAnsi="Palatino Linotype"/>
        </w:rPr>
        <w:t>periodo de 2012 a 2018.</w:t>
      </w:r>
    </w:p>
    <w:p w:rsidR="000D5385" w:rsidRDefault="00A46EA8" w:rsidP="00A46EA8">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lastRenderedPageBreak/>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000D5385">
        <w:rPr>
          <w:rFonts w:ascii="Palatino Linotype" w:hAnsi="Palatino Linotype" w:cs="Arial"/>
          <w:b/>
        </w:rPr>
        <w:t>EL SUJETO OBLIGADO,</w:t>
      </w:r>
      <w:r w:rsidR="000D5385">
        <w:rPr>
          <w:rFonts w:ascii="Palatino Linotype" w:hAnsi="Palatino Linotype" w:cs="Arial"/>
        </w:rPr>
        <w:t xml:space="preserve"> en respuesta manifestó lo siguiente:</w:t>
      </w:r>
    </w:p>
    <w:p w:rsidR="000D5385" w:rsidRPr="000D5385" w:rsidRDefault="000D5385" w:rsidP="000D5385">
      <w:pPr>
        <w:spacing w:before="100" w:beforeAutospacing="1" w:after="100" w:afterAutospacing="1" w:line="360" w:lineRule="auto"/>
        <w:jc w:val="center"/>
        <w:rPr>
          <w:rFonts w:ascii="Palatino Linotype" w:hAnsi="Palatino Linotype" w:cs="Arial"/>
        </w:rPr>
      </w:pPr>
      <w:r>
        <w:rPr>
          <w:noProof/>
          <w:lang w:val="es-MX" w:eastAsia="es-MX"/>
        </w:rPr>
        <w:drawing>
          <wp:inline distT="0" distB="0" distL="0" distR="0" wp14:anchorId="17671AC1" wp14:editId="697A1230">
            <wp:extent cx="4508500" cy="4349342"/>
            <wp:effectExtent l="19050" t="19050" r="25400" b="133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2523" cy="4420752"/>
                    </a:xfrm>
                    <a:prstGeom prst="rect">
                      <a:avLst/>
                    </a:prstGeom>
                    <a:ln>
                      <a:solidFill>
                        <a:schemeClr val="tx1"/>
                      </a:solidFill>
                    </a:ln>
                  </pic:spPr>
                </pic:pic>
              </a:graphicData>
            </a:graphic>
          </wp:inline>
        </w:drawing>
      </w:r>
    </w:p>
    <w:p w:rsidR="00A46EA8" w:rsidRDefault="00A46EA8" w:rsidP="00A46EA8">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Pr>
          <w:rFonts w:ascii="Palatino Linotype" w:hAnsi="Palatino Linotype" w:cs="Arial"/>
          <w:b/>
        </w:rPr>
        <w:t>MODIFI</w:t>
      </w:r>
      <w:r w:rsidRPr="0073286C">
        <w:rPr>
          <w:rFonts w:ascii="Palatino Linotype" w:hAnsi="Palatino Linotype" w:cs="Arial"/>
          <w:b/>
        </w:rPr>
        <w:t xml:space="preserve">CAR </w:t>
      </w:r>
      <w:r w:rsidRPr="0073286C">
        <w:rPr>
          <w:rFonts w:ascii="Palatino Linotype" w:hAnsi="Palatino Linotype" w:cs="Arial"/>
        </w:rPr>
        <w:t>la respuesta del</w:t>
      </w:r>
      <w:r w:rsidRPr="0073286C">
        <w:rPr>
          <w:rFonts w:ascii="Palatino Linotype" w:hAnsi="Palatino Linotype" w:cs="Arial"/>
          <w:b/>
        </w:rPr>
        <w:t xml:space="preserve"> SUJETO OBLIGADO </w:t>
      </w:r>
      <w:r w:rsidRPr="0073286C">
        <w:rPr>
          <w:rFonts w:ascii="Palatino Linotype" w:hAnsi="Palatino Linotype" w:cs="Arial"/>
        </w:rPr>
        <w:t>y ordenar</w:t>
      </w:r>
      <w:r w:rsidRPr="0073286C">
        <w:rPr>
          <w:rFonts w:ascii="Palatino Linotype" w:hAnsi="Palatino Linotype" w:cs="Arial"/>
          <w:b/>
        </w:rPr>
        <w:t xml:space="preserve"> </w:t>
      </w:r>
      <w:r w:rsidRPr="0073286C">
        <w:rPr>
          <w:rFonts w:ascii="Palatino Linotype" w:hAnsi="Palatino Linotype" w:cs="Arial"/>
        </w:rPr>
        <w:t xml:space="preserve">la entrega, vía </w:t>
      </w:r>
      <w:r w:rsidRPr="0073286C">
        <w:rPr>
          <w:rFonts w:ascii="Palatino Linotype" w:hAnsi="Palatino Linotype"/>
        </w:rPr>
        <w:t>SAIMEX</w:t>
      </w:r>
      <w:r w:rsidRPr="0073286C">
        <w:rPr>
          <w:rFonts w:ascii="Palatino Linotype" w:hAnsi="Palatino Linotype" w:cs="Arial"/>
        </w:rPr>
        <w:t xml:space="preserve"> </w:t>
      </w:r>
      <w:r w:rsidR="000D5385">
        <w:rPr>
          <w:rFonts w:ascii="Palatino Linotype" w:hAnsi="Palatino Linotype" w:cs="Arial"/>
        </w:rPr>
        <w:t xml:space="preserve">y </w:t>
      </w:r>
      <w:r w:rsidRPr="00330461">
        <w:rPr>
          <w:rFonts w:ascii="Palatino Linotype" w:hAnsi="Palatino Linotype" w:cs="Arial"/>
        </w:rPr>
        <w:t>en versión pública de</w:t>
      </w:r>
      <w:r w:rsidR="000D5385">
        <w:rPr>
          <w:rFonts w:ascii="Palatino Linotype" w:hAnsi="Palatino Linotype" w:cs="Arial"/>
        </w:rPr>
        <w:t xml:space="preserve"> </w:t>
      </w:r>
      <w:r>
        <w:rPr>
          <w:rFonts w:ascii="Palatino Linotype" w:hAnsi="Palatino Linotype" w:cs="Arial"/>
        </w:rPr>
        <w:t>l</w:t>
      </w:r>
      <w:r w:rsidR="000D5385">
        <w:rPr>
          <w:rFonts w:ascii="Palatino Linotype" w:hAnsi="Palatino Linotype" w:cs="Arial"/>
        </w:rPr>
        <w:t>o</w:t>
      </w:r>
      <w:r>
        <w:rPr>
          <w:rFonts w:ascii="Palatino Linotype" w:hAnsi="Palatino Linotype" w:cs="Arial"/>
        </w:rPr>
        <w:t xml:space="preserve"> siguiente:</w:t>
      </w:r>
    </w:p>
    <w:p w:rsidR="000D5385" w:rsidRPr="000D5385" w:rsidRDefault="000D5385" w:rsidP="006E1F04">
      <w:pPr>
        <w:pStyle w:val="Prrafodelista"/>
        <w:numPr>
          <w:ilvl w:val="0"/>
          <w:numId w:val="4"/>
        </w:numPr>
        <w:ind w:left="1276" w:right="992"/>
        <w:jc w:val="both"/>
        <w:rPr>
          <w:rFonts w:ascii="Palatino Linotype" w:hAnsi="Palatino Linotype" w:cs="Arial"/>
          <w:i/>
          <w:sz w:val="22"/>
          <w:szCs w:val="22"/>
          <w:lang w:val="es-MX"/>
        </w:rPr>
      </w:pPr>
      <w:r>
        <w:rPr>
          <w:rFonts w:ascii="Palatino Linotype" w:hAnsi="Palatino Linotype" w:cs="Arial"/>
          <w:i/>
          <w:sz w:val="22"/>
          <w:szCs w:val="22"/>
          <w:lang w:val="es-MX"/>
        </w:rPr>
        <w:t>“</w:t>
      </w:r>
      <w:r w:rsidRPr="000D5385">
        <w:rPr>
          <w:rFonts w:ascii="Palatino Linotype" w:hAnsi="Palatino Linotype" w:cs="Arial"/>
          <w:i/>
          <w:sz w:val="22"/>
          <w:szCs w:val="22"/>
          <w:lang w:val="es-MX"/>
        </w:rPr>
        <w:t xml:space="preserve">Protegiendo cualquier información que conlleve a un riesgo grave a los servidores públicos, el </w:t>
      </w:r>
      <w:proofErr w:type="spellStart"/>
      <w:r w:rsidRPr="000D5385">
        <w:rPr>
          <w:rFonts w:ascii="Palatino Linotype" w:hAnsi="Palatino Linotype" w:cs="Arial"/>
          <w:i/>
          <w:sz w:val="22"/>
          <w:szCs w:val="22"/>
          <w:lang w:val="es-MX"/>
        </w:rPr>
        <w:t>curriculum</w:t>
      </w:r>
      <w:proofErr w:type="spellEnd"/>
      <w:r w:rsidRPr="000D5385">
        <w:rPr>
          <w:rFonts w:ascii="Palatino Linotype" w:hAnsi="Palatino Linotype" w:cs="Arial"/>
          <w:i/>
          <w:sz w:val="22"/>
          <w:szCs w:val="22"/>
          <w:lang w:val="es-MX"/>
        </w:rPr>
        <w:t xml:space="preserve"> vitae o documento análogo de los titulares de </w:t>
      </w:r>
      <w:r w:rsidRPr="000D5385">
        <w:rPr>
          <w:rFonts w:ascii="Palatino Linotype" w:hAnsi="Palatino Linotype" w:cs="Arial"/>
          <w:i/>
          <w:sz w:val="22"/>
          <w:szCs w:val="22"/>
          <w:lang w:val="es-MX"/>
        </w:rPr>
        <w:lastRenderedPageBreak/>
        <w:t>la Contraloría Interna, de</w:t>
      </w:r>
      <w:r w:rsidRPr="000D5385">
        <w:rPr>
          <w:rFonts w:ascii="Palatino Linotype" w:hAnsi="Palatino Linotype"/>
          <w:i/>
          <w:color w:val="000000"/>
          <w:sz w:val="22"/>
          <w:szCs w:val="22"/>
        </w:rPr>
        <w:t xml:space="preserve">l </w:t>
      </w:r>
      <w:r w:rsidRPr="000D5385">
        <w:rPr>
          <w:rFonts w:ascii="Palatino Linotype" w:hAnsi="Palatino Linotype" w:cs="Arial"/>
          <w:i/>
          <w:sz w:val="22"/>
          <w:szCs w:val="22"/>
        </w:rPr>
        <w:t>uno (1) de enero de  2012 al diecinueve (19) de junio de  2018;</w:t>
      </w:r>
      <w:r w:rsidRPr="000D5385">
        <w:rPr>
          <w:rFonts w:ascii="Palatino Linotype" w:hAnsi="Palatino Linotype" w:cs="Arial"/>
          <w:i/>
          <w:sz w:val="22"/>
          <w:szCs w:val="22"/>
          <w:lang w:val="es-MX"/>
        </w:rPr>
        <w:t xml:space="preserve"> </w:t>
      </w:r>
    </w:p>
    <w:p w:rsidR="000D5385" w:rsidRPr="000D5385" w:rsidRDefault="000D5385" w:rsidP="006E1F04">
      <w:pPr>
        <w:pStyle w:val="Prrafodelista"/>
        <w:numPr>
          <w:ilvl w:val="0"/>
          <w:numId w:val="4"/>
        </w:numPr>
        <w:ind w:left="1276" w:right="992"/>
        <w:jc w:val="both"/>
        <w:rPr>
          <w:rFonts w:ascii="Palatino Linotype" w:hAnsi="Palatino Linotype" w:cs="Arial"/>
          <w:i/>
          <w:sz w:val="22"/>
          <w:szCs w:val="22"/>
          <w:lang w:val="es-MX"/>
        </w:rPr>
      </w:pPr>
      <w:r w:rsidRPr="000D5385">
        <w:rPr>
          <w:rFonts w:ascii="Palatino Linotype" w:hAnsi="Palatino Linotype" w:cs="Arial"/>
          <w:i/>
          <w:sz w:val="22"/>
          <w:szCs w:val="22"/>
          <w:lang w:val="es-MX"/>
        </w:rPr>
        <w:t>Soporte documental  donde consten las 103 recomendaciones realizadas por el Órgano de Control Interno en la actual administración, de ser posible en datos abiertos;</w:t>
      </w:r>
    </w:p>
    <w:p w:rsidR="000D5385" w:rsidRPr="000D5385" w:rsidRDefault="000D5385" w:rsidP="006E1F04">
      <w:pPr>
        <w:pStyle w:val="Prrafodelista"/>
        <w:numPr>
          <w:ilvl w:val="0"/>
          <w:numId w:val="4"/>
        </w:numPr>
        <w:ind w:left="1276" w:right="992"/>
        <w:jc w:val="both"/>
        <w:rPr>
          <w:rFonts w:ascii="Palatino Linotype" w:hAnsi="Palatino Linotype" w:cs="Arial"/>
          <w:i/>
          <w:sz w:val="22"/>
          <w:szCs w:val="22"/>
          <w:lang w:val="es-MX"/>
        </w:rPr>
      </w:pPr>
      <w:r w:rsidRPr="000D5385">
        <w:rPr>
          <w:rFonts w:ascii="Palatino Linotype" w:hAnsi="Palatino Linotype" w:cs="Arial"/>
          <w:i/>
          <w:sz w:val="22"/>
          <w:szCs w:val="22"/>
          <w:lang w:val="es-MX"/>
        </w:rPr>
        <w:t>Recomendaciones realizadas por el Órgano de Control Interno de</w:t>
      </w:r>
      <w:r w:rsidRPr="000D5385">
        <w:rPr>
          <w:rFonts w:ascii="Palatino Linotype" w:hAnsi="Palatino Linotype"/>
          <w:i/>
          <w:color w:val="000000"/>
          <w:sz w:val="22"/>
          <w:szCs w:val="22"/>
        </w:rPr>
        <w:t xml:space="preserve">l </w:t>
      </w:r>
      <w:r w:rsidRPr="000D5385">
        <w:rPr>
          <w:rFonts w:ascii="Palatino Linotype" w:hAnsi="Palatino Linotype" w:cs="Arial"/>
          <w:i/>
          <w:sz w:val="22"/>
          <w:szCs w:val="22"/>
        </w:rPr>
        <w:t xml:space="preserve">uno (1) de enero de  2012 al diecinueve (19) de junio de  2018, </w:t>
      </w:r>
      <w:r w:rsidRPr="000D5385">
        <w:rPr>
          <w:rFonts w:ascii="Palatino Linotype" w:hAnsi="Palatino Linotype" w:cs="Arial"/>
          <w:i/>
          <w:sz w:val="22"/>
          <w:szCs w:val="22"/>
          <w:lang w:val="es-MX"/>
        </w:rPr>
        <w:t>de ser posible en datos abiertos;</w:t>
      </w:r>
    </w:p>
    <w:p w:rsidR="000D5385" w:rsidRPr="000D5385" w:rsidRDefault="000D5385" w:rsidP="006E1F04">
      <w:pPr>
        <w:pStyle w:val="Prrafodelista"/>
        <w:numPr>
          <w:ilvl w:val="0"/>
          <w:numId w:val="4"/>
        </w:numPr>
        <w:ind w:left="1276" w:right="992"/>
        <w:jc w:val="both"/>
        <w:rPr>
          <w:rFonts w:ascii="Palatino Linotype" w:hAnsi="Palatino Linotype" w:cs="Arial"/>
          <w:i/>
          <w:sz w:val="22"/>
          <w:szCs w:val="22"/>
          <w:lang w:val="es-MX"/>
        </w:rPr>
      </w:pPr>
      <w:r w:rsidRPr="000D5385">
        <w:rPr>
          <w:rFonts w:ascii="Palatino Linotype" w:hAnsi="Palatino Linotype" w:cs="Arial"/>
          <w:i/>
          <w:sz w:val="22"/>
          <w:szCs w:val="22"/>
          <w:lang w:val="es-MX"/>
        </w:rPr>
        <w:t>Nómina general de todo el personal del Municipio de Ixtapaluca de</w:t>
      </w:r>
      <w:r w:rsidRPr="000D5385">
        <w:rPr>
          <w:rFonts w:ascii="Palatino Linotype" w:hAnsi="Palatino Linotype" w:cs="Arial"/>
          <w:i/>
          <w:sz w:val="22"/>
          <w:szCs w:val="22"/>
        </w:rPr>
        <w:t>l uno (1) de enero de  2012 al diecinueve (19) de junio de  2018;</w:t>
      </w:r>
    </w:p>
    <w:p w:rsidR="000D5385" w:rsidRPr="000D5385" w:rsidRDefault="000D5385" w:rsidP="006E1F04">
      <w:pPr>
        <w:pStyle w:val="Prrafodelista"/>
        <w:numPr>
          <w:ilvl w:val="0"/>
          <w:numId w:val="4"/>
        </w:numPr>
        <w:ind w:left="1276" w:right="992"/>
        <w:jc w:val="both"/>
        <w:rPr>
          <w:rFonts w:ascii="Palatino Linotype" w:hAnsi="Palatino Linotype" w:cs="Arial"/>
          <w:i/>
          <w:sz w:val="22"/>
          <w:szCs w:val="22"/>
          <w:lang w:val="es-MX"/>
        </w:rPr>
      </w:pPr>
      <w:r w:rsidRPr="000D5385">
        <w:rPr>
          <w:rFonts w:ascii="Palatino Linotype" w:hAnsi="Palatino Linotype" w:cs="Arial"/>
          <w:i/>
          <w:sz w:val="22"/>
          <w:szCs w:val="22"/>
          <w:lang w:val="es-MX"/>
        </w:rPr>
        <w:t>Contrataciones realizadas por el Ayuntamiento de</w:t>
      </w:r>
      <w:r w:rsidRPr="000D5385">
        <w:rPr>
          <w:rFonts w:ascii="Palatino Linotype" w:hAnsi="Palatino Linotype" w:cs="Arial"/>
          <w:i/>
          <w:sz w:val="22"/>
          <w:szCs w:val="22"/>
        </w:rPr>
        <w:t>l uno (1) de enero de  2012 al diecinueve (19) de junio de  2018</w:t>
      </w:r>
      <w:r w:rsidRPr="000D5385">
        <w:rPr>
          <w:rFonts w:ascii="Palatino Linotype" w:hAnsi="Palatino Linotype" w:cs="Arial"/>
          <w:i/>
          <w:sz w:val="22"/>
          <w:szCs w:val="22"/>
          <w:lang w:val="es-MX"/>
        </w:rPr>
        <w:t>, de ser posible en formato de datos abiertos (Excel); y</w:t>
      </w:r>
    </w:p>
    <w:p w:rsidR="000D5385" w:rsidRPr="000D5385" w:rsidRDefault="000D5385" w:rsidP="006E1F04">
      <w:pPr>
        <w:pStyle w:val="Prrafodelista"/>
        <w:numPr>
          <w:ilvl w:val="0"/>
          <w:numId w:val="4"/>
        </w:numPr>
        <w:ind w:left="1276" w:right="992"/>
        <w:jc w:val="both"/>
        <w:rPr>
          <w:rFonts w:ascii="Palatino Linotype" w:hAnsi="Palatino Linotype" w:cs="Arial"/>
          <w:i/>
          <w:sz w:val="22"/>
          <w:szCs w:val="22"/>
          <w:lang w:val="es-MX"/>
        </w:rPr>
      </w:pPr>
      <w:r w:rsidRPr="000D5385">
        <w:rPr>
          <w:rFonts w:ascii="Palatino Linotype" w:hAnsi="Palatino Linotype" w:cs="Arial"/>
          <w:i/>
          <w:sz w:val="22"/>
          <w:szCs w:val="22"/>
          <w:lang w:val="es-MX"/>
        </w:rPr>
        <w:t>Informe el enlace de descarga del documento denominado “Quejas, Denuncias y/o Sugerencias”;</w:t>
      </w:r>
    </w:p>
    <w:p w:rsidR="000D5385" w:rsidRPr="000D5385" w:rsidRDefault="000D5385" w:rsidP="006E1F04">
      <w:pPr>
        <w:ind w:left="1276" w:right="992"/>
        <w:jc w:val="both"/>
        <w:rPr>
          <w:rFonts w:ascii="Palatino Linotype" w:eastAsia="Calibri" w:hAnsi="Palatino Linotype" w:cs="Arial"/>
          <w:i/>
          <w:color w:val="000000" w:themeColor="text1"/>
          <w:sz w:val="22"/>
          <w:szCs w:val="22"/>
        </w:rPr>
      </w:pPr>
      <w:r w:rsidRPr="000D5385">
        <w:rPr>
          <w:rFonts w:ascii="Palatino Linotype" w:eastAsia="Calibri" w:hAnsi="Palatino Linotype" w:cs="Arial"/>
          <w:i/>
          <w:color w:val="000000" w:themeColor="text1"/>
          <w:sz w:val="22"/>
          <w:szCs w:val="22"/>
        </w:rPr>
        <w:t>En caso de que en dichos documentos se adviertan datos personales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0D5385" w:rsidRPr="000D5385" w:rsidRDefault="000D5385" w:rsidP="006E1F04">
      <w:pPr>
        <w:ind w:left="1276" w:right="992"/>
        <w:jc w:val="both"/>
        <w:rPr>
          <w:rFonts w:ascii="Palatino Linotype" w:eastAsia="Calibri" w:hAnsi="Palatino Linotype" w:cs="Arial"/>
          <w:b/>
          <w:i/>
          <w:color w:val="000000" w:themeColor="text1"/>
          <w:sz w:val="22"/>
          <w:szCs w:val="22"/>
        </w:rPr>
      </w:pPr>
      <w:r w:rsidRPr="000D5385">
        <w:rPr>
          <w:rFonts w:ascii="Palatino Linotype" w:eastAsia="Calibri" w:hAnsi="Palatino Linotype" w:cs="Arial"/>
          <w:b/>
          <w:i/>
          <w:color w:val="000000" w:themeColor="text1"/>
          <w:sz w:val="22"/>
          <w:szCs w:val="22"/>
        </w:rPr>
        <w:t>En caso, que la información señalada en el inciso c) no haya sido generada, poseída o administrada, el SUJETO OBLIGADO deberá de manifestar de manera precisa y clara, las razones que expliquen las causas por las cuales no se generó, posee o administra.”</w:t>
      </w:r>
    </w:p>
    <w:p w:rsidR="00A46EA8" w:rsidRDefault="00A46EA8" w:rsidP="00A46EA8">
      <w:pPr>
        <w:spacing w:before="100" w:beforeAutospacing="1" w:after="100" w:afterAutospacing="1" w:line="360" w:lineRule="auto"/>
        <w:jc w:val="both"/>
        <w:rPr>
          <w:rFonts w:ascii="Palatino Linotype" w:eastAsia="Calibri" w:hAnsi="Palatino Linotype" w:cs="Arial"/>
        </w:rPr>
      </w:pPr>
      <w:r w:rsidRPr="0073286C">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w:t>
      </w:r>
      <w:r w:rsidRPr="0073286C">
        <w:rPr>
          <w:rFonts w:ascii="Palatino Linotype" w:hAnsi="Palatino Linotype" w:cs="Arial"/>
          <w:lang w:val="es-MX"/>
        </w:rPr>
        <w:t xml:space="preserve">esolución en comento, difiero respecto del pronunciamiento que se ordena al </w:t>
      </w:r>
      <w:r w:rsidRPr="0073286C">
        <w:rPr>
          <w:rFonts w:ascii="Palatino Linotype" w:hAnsi="Palatino Linotype" w:cs="Arial"/>
          <w:b/>
          <w:lang w:val="es-MX"/>
        </w:rPr>
        <w:t>SUJETO OBLIGADO</w:t>
      </w:r>
      <w:r w:rsidRPr="0073286C">
        <w:rPr>
          <w:rFonts w:ascii="Palatino Linotype" w:hAnsi="Palatino Linotype" w:cs="Arial"/>
          <w:lang w:val="es-MX"/>
        </w:rPr>
        <w:t xml:space="preserve">, que para el caso de no </w:t>
      </w:r>
      <w:r>
        <w:rPr>
          <w:rFonts w:ascii="Palatino Linotype" w:hAnsi="Palatino Linotype" w:cs="Arial"/>
          <w:lang w:val="es-MX"/>
        </w:rPr>
        <w:t>haberse generado la información</w:t>
      </w:r>
      <w:r w:rsidR="00AF489F">
        <w:rPr>
          <w:rFonts w:ascii="Palatino Linotype" w:hAnsi="Palatino Linotype" w:cs="Arial"/>
          <w:lang w:val="es-MX"/>
        </w:rPr>
        <w:t xml:space="preserve"> que se ordena en el inciso c)</w:t>
      </w:r>
      <w:r>
        <w:rPr>
          <w:rFonts w:ascii="Palatino Linotype" w:hAnsi="Palatino Linotype" w:cs="Arial"/>
          <w:lang w:val="es-MX"/>
        </w:rPr>
        <w:t xml:space="preserve">, </w:t>
      </w:r>
      <w:r w:rsidRPr="0073286C">
        <w:rPr>
          <w:rFonts w:ascii="Palatino Linotype" w:hAnsi="Palatino Linotype" w:cs="Arial"/>
          <w:lang w:val="es-MX"/>
        </w:rPr>
        <w:t xml:space="preserve">se pronuncie </w:t>
      </w:r>
      <w:r w:rsidRPr="0073286C">
        <w:rPr>
          <w:rFonts w:ascii="Palatino Linotype" w:eastAsia="Calibri" w:hAnsi="Palatino Linotype" w:cs="Arial"/>
        </w:rPr>
        <w:t>de manera precisa y clara argumentando las razones que expliquen las causas por las que no cuente con la información requerida.</w:t>
      </w:r>
    </w:p>
    <w:p w:rsidR="00A46EA8" w:rsidRPr="0073286C" w:rsidRDefault="00A46EA8" w:rsidP="00A46EA8">
      <w:pPr>
        <w:spacing w:before="100" w:beforeAutospacing="1" w:after="100" w:afterAutospacing="1" w:line="360" w:lineRule="auto"/>
        <w:jc w:val="both"/>
        <w:rPr>
          <w:rFonts w:ascii="Palatino Linotype" w:hAnsi="Palatino Linotype" w:cs="Arial"/>
          <w:lang w:val="es-MX"/>
        </w:rPr>
      </w:pPr>
      <w:r w:rsidRPr="0073286C">
        <w:rPr>
          <w:rFonts w:ascii="Palatino Linotype" w:hAnsi="Palatino Linotype" w:cs="Arial"/>
          <w:lang w:val="es-MX"/>
        </w:rPr>
        <w:lastRenderedPageBreak/>
        <w:t>Al respecto, es menester remitirse al artículo 19 de la Ley de la materia que a la letra dice:</w:t>
      </w:r>
    </w:p>
    <w:p w:rsidR="00A46EA8" w:rsidRPr="0073286C" w:rsidRDefault="00A46EA8" w:rsidP="006E1F04">
      <w:pPr>
        <w:tabs>
          <w:tab w:val="left" w:pos="2550"/>
        </w:tabs>
        <w:ind w:left="709" w:right="567"/>
        <w:jc w:val="both"/>
        <w:rPr>
          <w:rFonts w:ascii="Palatino Linotype" w:hAnsi="Palatino Linotype" w:cs="Arial"/>
          <w:i/>
          <w:sz w:val="22"/>
          <w:lang w:val="es-MX"/>
        </w:rPr>
      </w:pPr>
      <w:r w:rsidRPr="00612A85">
        <w:rPr>
          <w:rFonts w:ascii="Palatino Linotype" w:hAnsi="Palatino Linotype" w:cs="Arial"/>
          <w:i/>
          <w:sz w:val="22"/>
          <w:lang w:val="es-MX"/>
        </w:rPr>
        <w:t>“</w:t>
      </w:r>
      <w:r w:rsidRPr="0073286C">
        <w:rPr>
          <w:rFonts w:ascii="Palatino Linotype" w:hAnsi="Palatino Linotype" w:cs="Arial"/>
          <w:b/>
          <w:i/>
          <w:sz w:val="22"/>
          <w:lang w:val="es-MX"/>
        </w:rPr>
        <w:t>Artículo 19.</w:t>
      </w:r>
      <w:r w:rsidRPr="0073286C">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A46EA8" w:rsidRPr="0073286C" w:rsidRDefault="00A46EA8" w:rsidP="006E1F04">
      <w:pPr>
        <w:ind w:left="709" w:right="567"/>
        <w:jc w:val="both"/>
        <w:rPr>
          <w:rFonts w:ascii="Palatino Linotype" w:hAnsi="Palatino Linotype" w:cs="Arial"/>
          <w:i/>
          <w:sz w:val="22"/>
          <w:lang w:val="es-MX"/>
        </w:rPr>
      </w:pPr>
    </w:p>
    <w:p w:rsidR="00A46EA8" w:rsidRPr="0073286C" w:rsidRDefault="00A46EA8" w:rsidP="006E1F04">
      <w:pPr>
        <w:ind w:left="709" w:right="567"/>
        <w:jc w:val="both"/>
        <w:rPr>
          <w:rFonts w:ascii="Palatino Linotype" w:hAnsi="Palatino Linotype" w:cs="Arial"/>
          <w:i/>
          <w:sz w:val="22"/>
          <w:lang w:val="es-MX"/>
        </w:rPr>
      </w:pPr>
      <w:r w:rsidRPr="0073286C">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A46EA8" w:rsidRPr="0073286C" w:rsidRDefault="00A46EA8" w:rsidP="006E1F04">
      <w:pPr>
        <w:ind w:left="709" w:right="567"/>
        <w:jc w:val="both"/>
        <w:rPr>
          <w:rFonts w:ascii="Palatino Linotype" w:hAnsi="Palatino Linotype" w:cs="Arial"/>
          <w:i/>
          <w:sz w:val="22"/>
          <w:lang w:val="es-MX"/>
        </w:rPr>
      </w:pPr>
    </w:p>
    <w:p w:rsidR="00A46EA8" w:rsidRPr="0073286C" w:rsidRDefault="00A46EA8" w:rsidP="006E1F04">
      <w:pPr>
        <w:ind w:left="709" w:right="567"/>
        <w:jc w:val="both"/>
        <w:rPr>
          <w:rFonts w:ascii="Palatino Linotype" w:hAnsi="Palatino Linotype" w:cs="Arial"/>
          <w:i/>
          <w:sz w:val="22"/>
          <w:lang w:val="es-MX"/>
        </w:rPr>
      </w:pPr>
      <w:r w:rsidRPr="0073286C">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sz w:val="22"/>
          <w:lang w:val="es-MX"/>
        </w:rPr>
        <w:t>”</w:t>
      </w:r>
    </w:p>
    <w:p w:rsidR="00747FA5" w:rsidRDefault="00747FA5" w:rsidP="00747FA5">
      <w:pPr>
        <w:pStyle w:val="Prrafodelista"/>
        <w:spacing w:line="360" w:lineRule="auto"/>
        <w:ind w:left="0"/>
        <w:jc w:val="both"/>
        <w:rPr>
          <w:rFonts w:ascii="Palatino Linotype" w:hAnsi="Palatino Linotype" w:cs="Arial"/>
          <w:lang w:val="es-MX"/>
        </w:rPr>
      </w:pPr>
    </w:p>
    <w:p w:rsidR="00A46EA8" w:rsidRPr="006E1F04" w:rsidRDefault="00A46EA8" w:rsidP="006E1F04">
      <w:pPr>
        <w:pStyle w:val="Prrafodelista"/>
        <w:spacing w:line="360" w:lineRule="auto"/>
        <w:ind w:left="0"/>
        <w:jc w:val="both"/>
        <w:rPr>
          <w:rFonts w:ascii="Palatino Linotype" w:hAnsi="Palatino Linotype" w:cs="Bookman Old Style"/>
          <w:i/>
          <w:sz w:val="22"/>
          <w:szCs w:val="22"/>
          <w:lang w:val="es-MX"/>
        </w:rPr>
      </w:pPr>
      <w:r w:rsidRPr="0073286C">
        <w:rPr>
          <w:rFonts w:ascii="Palatino Linotype" w:hAnsi="Palatino Linotype" w:cs="Arial"/>
          <w:lang w:val="es-MX"/>
        </w:rPr>
        <w:t>De lo anterior</w:t>
      </w:r>
      <w:r>
        <w:rPr>
          <w:rFonts w:ascii="Palatino Linotype" w:hAnsi="Palatino Linotype" w:cs="Arial"/>
          <w:lang w:val="es-MX"/>
        </w:rPr>
        <w:t>, el citado artículo señala que</w:t>
      </w:r>
      <w:r w:rsidRPr="0073286C">
        <w:rPr>
          <w:rFonts w:ascii="Palatino Linotype" w:hAnsi="Palatino Linotype" w:cs="Arial"/>
          <w:lang w:val="es-MX"/>
        </w:rPr>
        <w:t xml:space="preserve"> se presume que la información existe en razón de las funciones del </w:t>
      </w:r>
      <w:r w:rsidRPr="0073286C">
        <w:rPr>
          <w:rFonts w:ascii="Palatino Linotype" w:hAnsi="Palatino Linotype" w:cs="Arial"/>
          <w:b/>
          <w:lang w:val="es-MX"/>
        </w:rPr>
        <w:t>SUJETO OBLIGADO</w:t>
      </w:r>
      <w:r w:rsidRPr="0073286C">
        <w:rPr>
          <w:rFonts w:ascii="Palatino Linotype" w:hAnsi="Palatino Linotype" w:cs="Arial"/>
          <w:lang w:val="es-MX"/>
        </w:rPr>
        <w:t xml:space="preserve">; </w:t>
      </w:r>
      <w:r w:rsidR="006E1F04">
        <w:rPr>
          <w:rFonts w:ascii="Palatino Linotype" w:hAnsi="Palatino Linotype" w:cs="Arial"/>
          <w:lang w:val="es-MX"/>
        </w:rPr>
        <w:t xml:space="preserve">por lo que, </w:t>
      </w:r>
      <w:r w:rsidRPr="0073286C">
        <w:rPr>
          <w:rFonts w:ascii="Palatino Linotype" w:hAnsi="Palatino Linotype" w:cs="Arial"/>
        </w:rPr>
        <w:t>dicha informac</w:t>
      </w:r>
      <w:r>
        <w:rPr>
          <w:rFonts w:ascii="Palatino Linotype" w:hAnsi="Palatino Linotype" w:cs="Arial"/>
        </w:rPr>
        <w:t>ión no se configura como la que</w:t>
      </w:r>
      <w:r w:rsidRPr="0073286C">
        <w:rPr>
          <w:rFonts w:ascii="Palatino Linotype" w:hAnsi="Palatino Linotype" w:cs="Arial"/>
        </w:rPr>
        <w:t xml:space="preserve"> por deber normativo conste en los archivos del </w:t>
      </w:r>
      <w:r w:rsidRPr="0073286C">
        <w:rPr>
          <w:rFonts w:ascii="Palatino Linotype" w:hAnsi="Palatino Linotype" w:cs="Arial"/>
          <w:b/>
        </w:rPr>
        <w:t>SUJETO OBLIGADO</w:t>
      </w:r>
      <w:r w:rsidRPr="0073286C">
        <w:rPr>
          <w:rFonts w:ascii="Palatino Linotype" w:hAnsi="Palatino Linotype" w:cs="Arial"/>
        </w:rPr>
        <w:t xml:space="preserve">, es decir, que si bien es cierto no existe pronunciamiento ni manifestación expresa </w:t>
      </w:r>
      <w:r>
        <w:rPr>
          <w:rFonts w:ascii="Palatino Linotype" w:hAnsi="Palatino Linotype" w:cs="Arial"/>
        </w:rPr>
        <w:t xml:space="preserve">en la </w:t>
      </w:r>
      <w:r w:rsidRPr="0073286C">
        <w:rPr>
          <w:rFonts w:ascii="Palatino Linotype" w:hAnsi="Palatino Linotype" w:cs="Arial"/>
        </w:rPr>
        <w:t>que niegue contar con la información</w:t>
      </w:r>
      <w:r>
        <w:rPr>
          <w:rFonts w:ascii="Palatino Linotype" w:hAnsi="Palatino Linotype" w:cs="Arial"/>
        </w:rPr>
        <w:t>,</w:t>
      </w:r>
      <w:r w:rsidRPr="0073286C">
        <w:rPr>
          <w:rFonts w:ascii="Palatino Linotype" w:hAnsi="Palatino Linotype" w:cs="Arial"/>
        </w:rPr>
        <w:t xml:space="preserve"> el ordenar un pronunciamiento por parte de éste, en el que se establezcan las causas por las </w:t>
      </w:r>
      <w:r>
        <w:rPr>
          <w:rFonts w:ascii="Palatino Linotype" w:hAnsi="Palatino Linotype" w:cs="Arial"/>
        </w:rPr>
        <w:t xml:space="preserve">que no se generó la información, </w:t>
      </w:r>
      <w:r w:rsidRPr="0073286C">
        <w:rPr>
          <w:rFonts w:ascii="Palatino Linotype" w:hAnsi="Palatino Linotype" w:cs="Arial"/>
        </w:rPr>
        <w:t xml:space="preserve">implicaría afirmar que efectivamente </w:t>
      </w:r>
      <w:r w:rsidRPr="0073286C">
        <w:rPr>
          <w:rFonts w:ascii="Palatino Linotype" w:hAnsi="Palatino Linotype" w:cs="Arial"/>
          <w:b/>
        </w:rPr>
        <w:t>EL SUJETO OBLIGADO</w:t>
      </w:r>
      <w:r>
        <w:rPr>
          <w:rFonts w:ascii="Palatino Linotype" w:hAnsi="Palatino Linotype" w:cs="Arial"/>
        </w:rPr>
        <w:t xml:space="preserve"> cuenta con ella</w:t>
      </w:r>
      <w:r w:rsidRPr="0073286C">
        <w:rPr>
          <w:rFonts w:ascii="Palatino Linotype" w:hAnsi="Palatino Linotype" w:cs="Arial"/>
        </w:rPr>
        <w:t xml:space="preserve">, aun cuando del expediente </w:t>
      </w:r>
      <w:r>
        <w:rPr>
          <w:rFonts w:ascii="Palatino Linotype" w:hAnsi="Palatino Linotype" w:cs="Arial"/>
        </w:rPr>
        <w:t xml:space="preserve">electrónico del recurso de revisión, </w:t>
      </w:r>
      <w:r w:rsidRPr="0073286C">
        <w:rPr>
          <w:rFonts w:ascii="Palatino Linotype" w:hAnsi="Palatino Linotype" w:cs="Arial"/>
        </w:rPr>
        <w:t>no se advierte tal circunstancia ni existen indicios tendientes a demostrar lo aseve</w:t>
      </w:r>
      <w:r>
        <w:rPr>
          <w:rFonts w:ascii="Palatino Linotype" w:hAnsi="Palatino Linotype" w:cs="Arial"/>
        </w:rPr>
        <w:t xml:space="preserve">rado por la Ponencia </w:t>
      </w:r>
      <w:proofErr w:type="spellStart"/>
      <w:r>
        <w:rPr>
          <w:rFonts w:ascii="Palatino Linotype" w:hAnsi="Palatino Linotype" w:cs="Arial"/>
        </w:rPr>
        <w:t>Resolutora</w:t>
      </w:r>
      <w:proofErr w:type="spellEnd"/>
      <w:r w:rsidRPr="0073286C">
        <w:rPr>
          <w:rFonts w:ascii="Palatino Linotype" w:hAnsi="Palatino Linotype" w:cs="Arial"/>
        </w:rPr>
        <w:t>.</w:t>
      </w:r>
    </w:p>
    <w:p w:rsidR="005F466F" w:rsidRDefault="00A46EA8" w:rsidP="00A46EA8">
      <w:pPr>
        <w:spacing w:before="100" w:beforeAutospacing="1" w:after="100" w:afterAutospacing="1" w:line="360" w:lineRule="auto"/>
        <w:jc w:val="both"/>
        <w:rPr>
          <w:rFonts w:ascii="Palatino Linotype" w:hAnsi="Palatino Linotype" w:cs="Arial"/>
        </w:rPr>
      </w:pPr>
      <w:r w:rsidRPr="00920A1C">
        <w:rPr>
          <w:rFonts w:ascii="Palatino Linotype" w:hAnsi="Palatino Linotype" w:cs="Arial"/>
        </w:rPr>
        <w:t xml:space="preserve">En razón de lo expuesto, la que suscribe emite </w:t>
      </w:r>
      <w:r w:rsidRPr="00920A1C">
        <w:rPr>
          <w:rFonts w:ascii="Palatino Linotype" w:hAnsi="Palatino Linotype" w:cs="Arial"/>
          <w:b/>
        </w:rPr>
        <w:t>VOTO PARTICULAR</w:t>
      </w:r>
      <w:r w:rsidRPr="00920A1C">
        <w:rPr>
          <w:rFonts w:ascii="Palatino Linotype" w:hAnsi="Palatino Linotype" w:cs="Arial"/>
        </w:rPr>
        <w:t xml:space="preserve"> pues se insiste que la Ponencia </w:t>
      </w:r>
      <w:proofErr w:type="spellStart"/>
      <w:r w:rsidRPr="00920A1C">
        <w:rPr>
          <w:rFonts w:ascii="Palatino Linotype" w:hAnsi="Palatino Linotype" w:cs="Arial"/>
        </w:rPr>
        <w:t>Resolutora</w:t>
      </w:r>
      <w:proofErr w:type="spellEnd"/>
      <w:r w:rsidRPr="00920A1C">
        <w:rPr>
          <w:rFonts w:ascii="Palatino Linotype" w:hAnsi="Palatino Linotype" w:cs="Arial"/>
        </w:rPr>
        <w:t xml:space="preserve"> debió </w:t>
      </w:r>
      <w:r>
        <w:rPr>
          <w:rFonts w:ascii="Palatino Linotype" w:hAnsi="Palatino Linotype" w:cs="Arial"/>
        </w:rPr>
        <w:t xml:space="preserve">únicamente referir que </w:t>
      </w:r>
      <w:r>
        <w:rPr>
          <w:rFonts w:ascii="Palatino Linotype" w:hAnsi="Palatino Linotype" w:cs="Arial"/>
          <w:lang w:val="es-MX"/>
        </w:rPr>
        <w:t xml:space="preserve">para el caso de que la </w:t>
      </w:r>
      <w:r>
        <w:rPr>
          <w:rFonts w:ascii="Palatino Linotype" w:hAnsi="Palatino Linotype" w:cs="Arial"/>
          <w:lang w:val="es-MX"/>
        </w:rPr>
        <w:lastRenderedPageBreak/>
        <w:t xml:space="preserve">información no obrara en los archivos del </w:t>
      </w:r>
      <w:r>
        <w:rPr>
          <w:rFonts w:ascii="Palatino Linotype" w:hAnsi="Palatino Linotype" w:cs="Arial"/>
          <w:b/>
          <w:lang w:val="es-MX"/>
        </w:rPr>
        <w:t xml:space="preserve">SUJETO OBLIGADO </w:t>
      </w:r>
      <w:r>
        <w:rPr>
          <w:rFonts w:ascii="Palatino Linotype" w:hAnsi="Palatino Linotype" w:cs="Arial"/>
          <w:lang w:val="es-MX"/>
        </w:rPr>
        <w:t xml:space="preserve">bastaría </w:t>
      </w:r>
      <w:r w:rsidR="006E1F04">
        <w:rPr>
          <w:rFonts w:ascii="Palatino Linotype" w:hAnsi="Palatino Linotype" w:cs="Arial"/>
          <w:lang w:val="es-MX"/>
        </w:rPr>
        <w:t>con hacerlo del conocimiento del</w:t>
      </w:r>
      <w:r>
        <w:rPr>
          <w:rFonts w:ascii="Palatino Linotype" w:hAnsi="Palatino Linotype" w:cs="Arial"/>
          <w:lang w:val="es-MX"/>
        </w:rPr>
        <w:t xml:space="preserve"> </w:t>
      </w:r>
      <w:r>
        <w:rPr>
          <w:rFonts w:ascii="Palatino Linotype" w:hAnsi="Palatino Linotype" w:cs="Arial"/>
          <w:b/>
          <w:lang w:val="es-MX"/>
        </w:rPr>
        <w:t>RECURRENTE</w:t>
      </w:r>
      <w:r>
        <w:rPr>
          <w:rFonts w:ascii="Palatino Linotype" w:hAnsi="Palatino Linotype" w:cs="Arial"/>
          <w:lang w:val="es-MX"/>
        </w:rPr>
        <w:t xml:space="preserve">; </w:t>
      </w:r>
      <w:r>
        <w:rPr>
          <w:rFonts w:ascii="Palatino Linotype" w:hAnsi="Palatino Linotype" w:cs="Arial"/>
        </w:rPr>
        <w:t>ello aunado a que,</w:t>
      </w:r>
      <w:r w:rsidRPr="00C8035B">
        <w:rPr>
          <w:rFonts w:ascii="Palatino Linotype" w:hAnsi="Palatino Linotype" w:cs="Arial"/>
        </w:rPr>
        <w:t xml:space="preserve"> la Ley de Transparencia y Acceso a la Información Pública del Estado de México y Municipios no faculta a este Instituto para ordenar que los</w:t>
      </w:r>
      <w:r w:rsidRPr="00C8035B">
        <w:rPr>
          <w:rFonts w:ascii="Palatino Linotype" w:hAnsi="Palatino Linotype" w:cs="Arial"/>
          <w:b/>
        </w:rPr>
        <w:t xml:space="preserve"> </w:t>
      </w:r>
      <w:r w:rsidRPr="00C8035B">
        <w:rPr>
          <w:rFonts w:ascii="Palatino Linotype" w:hAnsi="Palatino Linotype" w:cs="Arial"/>
        </w:rPr>
        <w:t xml:space="preserve">Sujetos Obligados motiven las causas por las que no se generó la información si dicho acto o hecho no aconteció, es decir, </w:t>
      </w:r>
      <w:r>
        <w:rPr>
          <w:rFonts w:ascii="Palatino Linotype" w:hAnsi="Palatino Linotype" w:cs="Arial"/>
        </w:rPr>
        <w:t>al no advertirse de las documentales que efectivamente fue ex</w:t>
      </w:r>
      <w:r w:rsidR="005F466F">
        <w:rPr>
          <w:rFonts w:ascii="Palatino Linotype" w:hAnsi="Palatino Linotype" w:cs="Arial"/>
        </w:rPr>
        <w:t>pedidos los documentos.</w:t>
      </w:r>
    </w:p>
    <w:p w:rsidR="006E1F04" w:rsidRDefault="006E1F04" w:rsidP="00A46EA8">
      <w:pPr>
        <w:spacing w:before="100" w:beforeAutospacing="1" w:after="100" w:afterAutospacing="1" w:line="360" w:lineRule="auto"/>
        <w:jc w:val="both"/>
        <w:rPr>
          <w:rFonts w:ascii="Palatino Linotype" w:hAnsi="Palatino Linotype" w:cs="Arial"/>
        </w:rPr>
      </w:pPr>
    </w:p>
    <w:p w:rsidR="006E1F04" w:rsidRDefault="006E1F04" w:rsidP="00A46EA8">
      <w:pPr>
        <w:spacing w:before="100" w:beforeAutospacing="1" w:after="100" w:afterAutospacing="1" w:line="360" w:lineRule="auto"/>
        <w:jc w:val="both"/>
        <w:rPr>
          <w:rFonts w:ascii="Palatino Linotype" w:hAnsi="Palatino Linotype" w:cs="Arial"/>
        </w:rPr>
      </w:pPr>
    </w:p>
    <w:p w:rsidR="006E1F04" w:rsidRDefault="006E1F04" w:rsidP="00A46EA8">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A46EA8" w:rsidRPr="0073286C" w:rsidTr="008E782A">
        <w:trPr>
          <w:jc w:val="center"/>
        </w:trPr>
        <w:tc>
          <w:tcPr>
            <w:tcW w:w="4393" w:type="dxa"/>
          </w:tcPr>
          <w:p w:rsidR="00D94314" w:rsidRDefault="00D94314" w:rsidP="008E782A">
            <w:pPr>
              <w:jc w:val="center"/>
              <w:rPr>
                <w:rFonts w:ascii="Palatino Linotype" w:hAnsi="Palatino Linotype"/>
                <w:b/>
              </w:rPr>
            </w:pPr>
          </w:p>
          <w:p w:rsidR="00D94314" w:rsidRDefault="00D94314" w:rsidP="008E782A">
            <w:pPr>
              <w:jc w:val="center"/>
              <w:rPr>
                <w:rFonts w:ascii="Palatino Linotype" w:hAnsi="Palatino Linotype"/>
                <w:b/>
              </w:rPr>
            </w:pPr>
          </w:p>
          <w:p w:rsidR="00D94314" w:rsidRDefault="00D94314" w:rsidP="008E782A">
            <w:pPr>
              <w:jc w:val="center"/>
              <w:rPr>
                <w:rFonts w:ascii="Palatino Linotype" w:hAnsi="Palatino Linotype"/>
                <w:b/>
              </w:rPr>
            </w:pPr>
          </w:p>
          <w:p w:rsidR="00A46EA8" w:rsidRPr="0073286C" w:rsidRDefault="00A46EA8" w:rsidP="008E782A">
            <w:pPr>
              <w:jc w:val="center"/>
              <w:rPr>
                <w:rFonts w:ascii="Palatino Linotype" w:hAnsi="Palatino Linotype"/>
                <w:b/>
              </w:rPr>
            </w:pPr>
            <w:bookmarkStart w:id="0" w:name="_GoBack"/>
            <w:bookmarkEnd w:id="0"/>
            <w:r w:rsidRPr="0073286C">
              <w:rPr>
                <w:rFonts w:ascii="Palatino Linotype" w:hAnsi="Palatino Linotype"/>
                <w:b/>
              </w:rPr>
              <w:t>EVA ABAID YAPUR</w:t>
            </w:r>
          </w:p>
          <w:p w:rsidR="00A46EA8" w:rsidRDefault="00A46EA8" w:rsidP="00D94314">
            <w:pPr>
              <w:jc w:val="center"/>
              <w:rPr>
                <w:rFonts w:ascii="Palatino Linotype" w:hAnsi="Palatino Linotype"/>
                <w:b/>
              </w:rPr>
            </w:pPr>
            <w:r w:rsidRPr="0073286C">
              <w:rPr>
                <w:rFonts w:ascii="Palatino Linotype" w:hAnsi="Palatino Linotype"/>
                <w:b/>
              </w:rPr>
              <w:t>COMISIONADA</w:t>
            </w:r>
          </w:p>
          <w:p w:rsidR="001A0724" w:rsidRPr="0073286C" w:rsidRDefault="001A0724" w:rsidP="00D94314">
            <w:pPr>
              <w:jc w:val="center"/>
              <w:rPr>
                <w:rFonts w:ascii="Palatino Linotype" w:hAnsi="Palatino Linotype"/>
                <w:b/>
              </w:rPr>
            </w:pPr>
            <w:r>
              <w:rPr>
                <w:rFonts w:ascii="Palatino Linotype" w:hAnsi="Palatino Linotype" w:cs="Arial"/>
                <w:b/>
              </w:rPr>
              <w:t>(RÚBRICA)</w:t>
            </w:r>
          </w:p>
        </w:tc>
      </w:tr>
    </w:tbl>
    <w:p w:rsidR="00A46EA8" w:rsidRDefault="00A46EA8" w:rsidP="00A46EA8">
      <w:pPr>
        <w:spacing w:before="100" w:beforeAutospacing="1" w:after="100" w:afterAutospacing="1" w:line="360" w:lineRule="auto"/>
        <w:jc w:val="both"/>
        <w:rPr>
          <w:rFonts w:ascii="Palatino Linotype" w:eastAsia="Calibri" w:hAnsi="Palatino Linotype" w:cs="Arial"/>
          <w:color w:val="000000" w:themeColor="text1"/>
          <w:sz w:val="22"/>
        </w:rPr>
      </w:pPr>
    </w:p>
    <w:p w:rsidR="006E1F04" w:rsidRDefault="006E1F04" w:rsidP="00A46EA8">
      <w:pPr>
        <w:spacing w:before="100" w:beforeAutospacing="1" w:after="100" w:afterAutospacing="1" w:line="360" w:lineRule="auto"/>
        <w:jc w:val="both"/>
        <w:rPr>
          <w:rFonts w:ascii="Palatino Linotype" w:eastAsia="Calibri" w:hAnsi="Palatino Linotype" w:cs="Arial"/>
          <w:color w:val="000000" w:themeColor="text1"/>
          <w:sz w:val="22"/>
        </w:rPr>
      </w:pPr>
    </w:p>
    <w:p w:rsidR="006E1F04" w:rsidRDefault="006E1F04" w:rsidP="00A46EA8">
      <w:pPr>
        <w:spacing w:before="100" w:beforeAutospacing="1" w:after="100" w:afterAutospacing="1" w:line="360" w:lineRule="auto"/>
        <w:jc w:val="both"/>
        <w:rPr>
          <w:rFonts w:ascii="Palatino Linotype" w:eastAsia="Calibri" w:hAnsi="Palatino Linotype" w:cs="Arial"/>
          <w:color w:val="000000" w:themeColor="text1"/>
          <w:sz w:val="22"/>
        </w:rPr>
      </w:pPr>
    </w:p>
    <w:p w:rsidR="00A46EA8" w:rsidRDefault="00A46EA8" w:rsidP="006E1F04">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w:t>
      </w:r>
      <w:r w:rsidR="006E1F04">
        <w:rPr>
          <w:rFonts w:ascii="Palatino Linotype" w:eastAsia="Calibri" w:hAnsi="Palatino Linotype" w:cs="Arial"/>
          <w:color w:val="000000" w:themeColor="text1"/>
          <w:sz w:val="20"/>
          <w:szCs w:val="20"/>
        </w:rPr>
        <w:t>ión del recurso de revisión 02608</w:t>
      </w:r>
      <w:r w:rsidRPr="001A4E4A">
        <w:rPr>
          <w:rFonts w:ascii="Palatino Linotype" w:eastAsia="Calibri" w:hAnsi="Palatino Linotype" w:cs="Arial"/>
          <w:color w:val="000000" w:themeColor="text1"/>
          <w:sz w:val="20"/>
          <w:szCs w:val="20"/>
        </w:rPr>
        <w:t>/INFOEM/IP/RR/2018, aprobado el veinti</w:t>
      </w:r>
      <w:r>
        <w:rPr>
          <w:rFonts w:ascii="Palatino Linotype" w:eastAsia="Calibri" w:hAnsi="Palatino Linotype" w:cs="Arial"/>
          <w:color w:val="000000" w:themeColor="text1"/>
          <w:sz w:val="20"/>
          <w:szCs w:val="20"/>
        </w:rPr>
        <w:t xml:space="preserve">nueve de agosto </w:t>
      </w:r>
      <w:r w:rsidRPr="001A4E4A">
        <w:rPr>
          <w:rFonts w:ascii="Palatino Linotype" w:eastAsia="Calibri" w:hAnsi="Palatino Linotype" w:cs="Arial"/>
          <w:color w:val="000000" w:themeColor="text1"/>
          <w:sz w:val="20"/>
          <w:szCs w:val="20"/>
        </w:rPr>
        <w:t xml:space="preserve">de dos mil dieciocho.  </w:t>
      </w:r>
    </w:p>
    <w:p w:rsidR="006E1F04" w:rsidRPr="00D94314" w:rsidRDefault="006E1F04" w:rsidP="006E1F04">
      <w:pPr>
        <w:jc w:val="both"/>
        <w:rPr>
          <w:rFonts w:ascii="Palatino Linotype" w:eastAsia="Calibri" w:hAnsi="Palatino Linotype" w:cs="Arial"/>
          <w:color w:val="000000" w:themeColor="text1"/>
          <w:sz w:val="4"/>
          <w:szCs w:val="20"/>
        </w:rPr>
      </w:pPr>
    </w:p>
    <w:p w:rsidR="00C23B43" w:rsidRDefault="00A46EA8" w:rsidP="00D94314">
      <w:pPr>
        <w:jc w:val="both"/>
      </w:pPr>
      <w:r w:rsidRPr="001A4E4A">
        <w:rPr>
          <w:rFonts w:ascii="Palatino Linotype" w:eastAsia="Calibri" w:hAnsi="Palatino Linotype" w:cs="Arial"/>
          <w:color w:val="000000" w:themeColor="text1"/>
          <w:sz w:val="20"/>
          <w:szCs w:val="20"/>
        </w:rPr>
        <w:t>YSM/AMV</w:t>
      </w:r>
    </w:p>
    <w:sectPr w:rsidR="00C23B43"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26" w:rsidRDefault="00FB1C26" w:rsidP="00A46EA8">
      <w:r>
        <w:separator/>
      </w:r>
    </w:p>
  </w:endnote>
  <w:endnote w:type="continuationSeparator" w:id="0">
    <w:p w:rsidR="00FB1C26" w:rsidRDefault="00FB1C26" w:rsidP="00A4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B1C26" w:rsidP="00DC5C4E">
    <w:pPr>
      <w:pStyle w:val="Piedepgina"/>
      <w:tabs>
        <w:tab w:val="clear" w:pos="4252"/>
        <w:tab w:val="left" w:pos="4228"/>
      </w:tabs>
      <w:rPr>
        <w:rFonts w:ascii="Palatino Linotype" w:hAnsi="Palatino Linotype" w:cs="Arial"/>
        <w:b/>
        <w:bCs/>
        <w:sz w:val="20"/>
        <w:szCs w:val="20"/>
      </w:rPr>
    </w:pPr>
  </w:p>
  <w:p w:rsidR="006E1F04" w:rsidRDefault="006E1F04" w:rsidP="00DC5C4E">
    <w:pPr>
      <w:pStyle w:val="Piedepgina"/>
      <w:tabs>
        <w:tab w:val="clear" w:pos="4252"/>
        <w:tab w:val="left" w:pos="4228"/>
      </w:tabs>
      <w:rPr>
        <w:rFonts w:ascii="Palatino Linotype" w:hAnsi="Palatino Linotype" w:cs="Arial"/>
        <w:b/>
        <w:bCs/>
        <w:sz w:val="20"/>
        <w:szCs w:val="20"/>
      </w:rPr>
    </w:pPr>
  </w:p>
  <w:p w:rsidR="00BE17D7" w:rsidRDefault="00FB1C26" w:rsidP="00DC5C4E">
    <w:pPr>
      <w:pStyle w:val="Piedepgina"/>
      <w:tabs>
        <w:tab w:val="clear" w:pos="4252"/>
        <w:tab w:val="left" w:pos="4228"/>
      </w:tabs>
      <w:rPr>
        <w:rFonts w:ascii="Palatino Linotype" w:hAnsi="Palatino Linotype" w:cs="Arial"/>
        <w:b/>
        <w:bCs/>
        <w:sz w:val="20"/>
        <w:szCs w:val="20"/>
      </w:rPr>
    </w:pPr>
  </w:p>
  <w:p w:rsidR="00560C7C" w:rsidRDefault="00FB1C26" w:rsidP="00DC5C4E">
    <w:pPr>
      <w:pStyle w:val="Piedepgina"/>
      <w:tabs>
        <w:tab w:val="clear" w:pos="4252"/>
        <w:tab w:val="left" w:pos="4228"/>
      </w:tabs>
      <w:rPr>
        <w:rFonts w:ascii="Palatino Linotype" w:hAnsi="Palatino Linotype" w:cs="Arial"/>
        <w:b/>
        <w:bCs/>
        <w:sz w:val="20"/>
        <w:szCs w:val="20"/>
      </w:rPr>
    </w:pPr>
  </w:p>
  <w:p w:rsidR="005C7C8F" w:rsidRDefault="00FB1C26" w:rsidP="00DC5C4E">
    <w:pPr>
      <w:pStyle w:val="Piedepgina"/>
      <w:tabs>
        <w:tab w:val="clear" w:pos="4252"/>
        <w:tab w:val="left" w:pos="4228"/>
      </w:tabs>
      <w:rPr>
        <w:rFonts w:ascii="Palatino Linotype" w:hAnsi="Palatino Linotype" w:cs="Arial"/>
        <w:b/>
        <w:bCs/>
        <w:sz w:val="20"/>
        <w:szCs w:val="20"/>
      </w:rPr>
    </w:pPr>
  </w:p>
  <w:p w:rsidR="005C7C8F" w:rsidRDefault="00FB1C26" w:rsidP="00DC5C4E">
    <w:pPr>
      <w:pStyle w:val="Piedepgina"/>
      <w:rPr>
        <w:rFonts w:ascii="Palatino Linotype" w:hAnsi="Palatino Linotype" w:cs="Arial"/>
        <w:b/>
        <w:bCs/>
        <w:sz w:val="20"/>
        <w:szCs w:val="20"/>
      </w:rPr>
    </w:pPr>
  </w:p>
  <w:p w:rsidR="005C7C8F" w:rsidRPr="00F12350" w:rsidRDefault="005D5F56"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0724">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072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26" w:rsidRDefault="00FB1C26" w:rsidP="00A46EA8">
      <w:r>
        <w:separator/>
      </w:r>
    </w:p>
  </w:footnote>
  <w:footnote w:type="continuationSeparator" w:id="0">
    <w:p w:rsidR="00FB1C26" w:rsidRDefault="00FB1C26" w:rsidP="00A4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B1C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6" w:rsidRDefault="005D5F56"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C52BAB8" wp14:editId="0CD20F65">
          <wp:simplePos x="0" y="0"/>
          <wp:positionH relativeFrom="column">
            <wp:posOffset>-744220</wp:posOffset>
          </wp:positionH>
          <wp:positionV relativeFrom="paragraph">
            <wp:posOffset>-441325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FB1C26" w:rsidP="00DC5C4E">
    <w:pPr>
      <w:pStyle w:val="Encabezado"/>
      <w:tabs>
        <w:tab w:val="clear" w:pos="4252"/>
        <w:tab w:val="clear" w:pos="8504"/>
        <w:tab w:val="left" w:pos="2326"/>
      </w:tabs>
      <w:jc w:val="right"/>
    </w:pPr>
  </w:p>
  <w:p w:rsidR="005C7C8F" w:rsidRDefault="005D5F56"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F87541" w:rsidRDefault="005D5F56" w:rsidP="00F87541">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46EA8">
      <w:rPr>
        <w:rFonts w:ascii="Palatino Linotype" w:hAnsi="Palatino Linotype" w:cs="Arial"/>
        <w:sz w:val="20"/>
        <w:szCs w:val="20"/>
      </w:rPr>
      <w:t>02608</w:t>
    </w:r>
    <w:r>
      <w:rPr>
        <w:rFonts w:ascii="Palatino Linotype" w:hAnsi="Palatino Linotype" w:cs="Arial"/>
        <w:sz w:val="20"/>
        <w:szCs w:val="20"/>
      </w:rPr>
      <w:t xml:space="preserve">/INFOEM/IP/RR/2018 </w:t>
    </w:r>
  </w:p>
  <w:p w:rsidR="005C7C8F" w:rsidRDefault="00FB1C26" w:rsidP="00DC5C4E">
    <w:pPr>
      <w:pStyle w:val="Encabezado"/>
      <w:tabs>
        <w:tab w:val="clear" w:pos="4252"/>
        <w:tab w:val="clear" w:pos="8504"/>
        <w:tab w:val="left" w:pos="2326"/>
      </w:tabs>
      <w:jc w:val="right"/>
      <w:rPr>
        <w:rFonts w:ascii="Palatino Linotype" w:hAnsi="Palatino Linotype" w:cs="Arial"/>
        <w:sz w:val="20"/>
        <w:szCs w:val="20"/>
      </w:rPr>
    </w:pPr>
  </w:p>
  <w:p w:rsidR="006008A4" w:rsidRDefault="00FB1C26"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4.6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B1C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DC3425"/>
    <w:multiLevelType w:val="hybridMultilevel"/>
    <w:tmpl w:val="9F481898"/>
    <w:lvl w:ilvl="0" w:tplc="2F94B26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A8"/>
    <w:rsid w:val="000D5385"/>
    <w:rsid w:val="001A0724"/>
    <w:rsid w:val="002B73DC"/>
    <w:rsid w:val="005D5F56"/>
    <w:rsid w:val="005F466F"/>
    <w:rsid w:val="006E1F04"/>
    <w:rsid w:val="00747FA5"/>
    <w:rsid w:val="008A0F67"/>
    <w:rsid w:val="00A46EA8"/>
    <w:rsid w:val="00AF489F"/>
    <w:rsid w:val="00C23B43"/>
    <w:rsid w:val="00C9714C"/>
    <w:rsid w:val="00D94314"/>
    <w:rsid w:val="00F54212"/>
    <w:rsid w:val="00FB1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295F1F-B0C3-4017-9B26-E9A5DEAC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EA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0D538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6EA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46EA8"/>
    <w:rPr>
      <w:rFonts w:eastAsiaTheme="minorEastAsia"/>
      <w:sz w:val="24"/>
      <w:szCs w:val="24"/>
      <w:lang w:val="es-ES_tradnl" w:eastAsia="es-ES"/>
    </w:rPr>
  </w:style>
  <w:style w:type="paragraph" w:styleId="Piedepgina">
    <w:name w:val="footer"/>
    <w:basedOn w:val="Normal"/>
    <w:link w:val="PiedepginaCar"/>
    <w:uiPriority w:val="99"/>
    <w:unhideWhenUsed/>
    <w:rsid w:val="00A46EA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46EA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46EA8"/>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6EA8"/>
    <w:rPr>
      <w:rFonts w:eastAsiaTheme="minorEastAsia"/>
      <w:sz w:val="24"/>
      <w:szCs w:val="24"/>
      <w:lang w:val="es-ES_tradnl" w:eastAsia="es-ES"/>
    </w:rPr>
  </w:style>
  <w:style w:type="character" w:styleId="Hipervnculo">
    <w:name w:val="Hyperlink"/>
    <w:basedOn w:val="Fuentedeprrafopredeter"/>
    <w:uiPriority w:val="99"/>
    <w:unhideWhenUsed/>
    <w:rsid w:val="00A46EA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46EA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46EA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A46EA8"/>
    <w:rPr>
      <w:vertAlign w:val="superscript"/>
    </w:rPr>
  </w:style>
  <w:style w:type="character" w:customStyle="1" w:styleId="Ttulo2Car">
    <w:name w:val="Título 2 Car"/>
    <w:basedOn w:val="Fuentedeprrafopredeter"/>
    <w:link w:val="Ttulo2"/>
    <w:uiPriority w:val="9"/>
    <w:rsid w:val="000D53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6E1F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F0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965</Words>
  <Characters>5310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2018-09-03T17:14:00Z</cp:lastPrinted>
  <dcterms:created xsi:type="dcterms:W3CDTF">2018-08-31T02:59:00Z</dcterms:created>
  <dcterms:modified xsi:type="dcterms:W3CDTF">2018-10-11T01:47:00Z</dcterms:modified>
</cp:coreProperties>
</file>